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72FA">
      <w:pPr>
        <w:pStyle w:val="2"/>
        <w:autoSpaceDE/>
        <w:autoSpaceDN/>
        <w:spacing w:before="0" w:line="580" w:lineRule="exact"/>
        <w:rPr>
          <w:rFonts w:hint="eastAsia" w:ascii="黑体" w:hAnsi="黑体" w:eastAsia="黑体" w:cs="黑体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 w14:paraId="0BE5C66D">
      <w:pPr>
        <w:autoSpaceDE/>
        <w:autoSpaceDN/>
        <w:spacing w:after="156" w:afterLines="50"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</w:p>
    <w:p w14:paraId="7A48D165">
      <w:pPr>
        <w:autoSpaceDE/>
        <w:autoSpaceDN/>
        <w:spacing w:after="156" w:afterLines="50"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2026年“AI+产教融合”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/>
        </w:rPr>
        <w:t>专项课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/>
        </w:rPr>
        <w:t>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申请指南</w:t>
      </w:r>
    </w:p>
    <w:p w14:paraId="5D925516">
      <w:pPr>
        <w:spacing w:line="58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73FC6AD">
      <w:pPr>
        <w:spacing w:line="580" w:lineRule="exact"/>
        <w:ind w:firstLine="640" w:firstLineChars="200"/>
        <w:jc w:val="both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一、课题说明</w:t>
      </w:r>
    </w:p>
    <w:p w14:paraId="44B5C7A5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1.2026年“AI+产教融合”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专项课题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（以下简称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本专项课题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”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申报针对人工智能、数字经济、AI+电商和AI+传统文化传播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四个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专项，各团队根据自身研究基础和学术特长，拟定具体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课题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CB8D4E5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本专项课题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分为重点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和一般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两类。其中，A01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、A02、A03方向的重点项目为1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万元课题经费和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万元平台使用费用，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一般项目为0.5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万元课题经费和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0.5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万元平台使用费用。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A04方向的重点项目为2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万元课题经费，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一般项目为1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万元课题经费。</w:t>
      </w:r>
    </w:p>
    <w:p w14:paraId="29CC0167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本专项课题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的申请截止时间为2026年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日。计划执行时间为2026年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日—20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日。</w:t>
      </w:r>
    </w:p>
    <w:p w14:paraId="125E8657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color w:val="FF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Hans"/>
        </w:rPr>
        <w:t>本专项课题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的选题方向与选题介绍如表一所示。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657"/>
        <w:gridCol w:w="5929"/>
      </w:tblGrid>
      <w:tr w14:paraId="4618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475" w:type="dxa"/>
            <w:shd w:val="clear" w:color="auto" w:fill="D0CECE" w:themeFill="background2" w:themeFillShade="E6"/>
            <w:vAlign w:val="center"/>
          </w:tcPr>
          <w:p w14:paraId="4F547AB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课题方向编号</w:t>
            </w:r>
          </w:p>
        </w:tc>
        <w:tc>
          <w:tcPr>
            <w:tcW w:w="1657" w:type="dxa"/>
            <w:shd w:val="clear" w:color="auto" w:fill="D0CECE" w:themeFill="background2" w:themeFillShade="E6"/>
            <w:vAlign w:val="center"/>
          </w:tcPr>
          <w:p w14:paraId="76F59B4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课题方向</w:t>
            </w:r>
          </w:p>
        </w:tc>
        <w:tc>
          <w:tcPr>
            <w:tcW w:w="5929" w:type="dxa"/>
            <w:shd w:val="clear" w:color="auto" w:fill="D0CECE" w:themeFill="background2" w:themeFillShade="E6"/>
            <w:vAlign w:val="center"/>
          </w:tcPr>
          <w:p w14:paraId="4752948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课题介绍</w:t>
            </w:r>
          </w:p>
        </w:tc>
      </w:tr>
      <w:tr w14:paraId="59CC0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1475" w:type="dxa"/>
            <w:vAlign w:val="center"/>
          </w:tcPr>
          <w:p w14:paraId="29CAC1B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A01</w:t>
            </w:r>
          </w:p>
        </w:tc>
        <w:tc>
          <w:tcPr>
            <w:tcW w:w="1657" w:type="dxa"/>
            <w:vAlign w:val="center"/>
          </w:tcPr>
          <w:p w14:paraId="6275F6AC">
            <w:pPr>
              <w:tabs>
                <w:tab w:val="left" w:pos="615"/>
              </w:tabs>
              <w:autoSpaceDE/>
              <w:autoSpaceDN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人工智能专项</w:t>
            </w:r>
          </w:p>
        </w:tc>
        <w:tc>
          <w:tcPr>
            <w:tcW w:w="5929" w:type="dxa"/>
            <w:vAlign w:val="center"/>
          </w:tcPr>
          <w:p w14:paraId="62850DFB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1.生成式大模型跨行业场景落地与产业赋能应用研究</w:t>
            </w:r>
          </w:p>
          <w:p w14:paraId="25764CCC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2.多模态人工智能技术的创新迭代与跨领域融合应用研究</w:t>
            </w:r>
          </w:p>
          <w:p w14:paraId="466CF631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3.AI视觉与智能体技术的行业实践与智能化升级研究</w:t>
            </w:r>
          </w:p>
          <w:p w14:paraId="5D2D8599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4.人工智能赋能文化传媒与文旅产业创新发展研究</w:t>
            </w:r>
          </w:p>
          <w:p w14:paraId="366B2995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5.人工智能赋能思政引领、伦理风险规制与行业安全治理体系研究</w:t>
            </w:r>
          </w:p>
          <w:p w14:paraId="4826FB4A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6.AI轻量化算法优化与模型迭代开发的实践研究</w:t>
            </w:r>
          </w:p>
          <w:p w14:paraId="1A832EA3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7.人工智能赋能多学科融合教学改革与思政育人创新实践研究</w:t>
            </w:r>
          </w:p>
          <w:p w14:paraId="35A0D425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8.人工智能赋能数字贸易新业态高质量发展的路径与实证研究</w:t>
            </w:r>
          </w:p>
          <w:p w14:paraId="75F75A5E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9.人工智能驱动国际贸易风险防控与跨境商务合规体系构建研究</w:t>
            </w:r>
          </w:p>
          <w:p w14:paraId="2D52BA91">
            <w:pPr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10.生成式AI赋能商务英语跨境交际与涉外商贸服务创新研究</w:t>
            </w:r>
          </w:p>
        </w:tc>
      </w:tr>
      <w:tr w14:paraId="0EE09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475" w:type="dxa"/>
            <w:vAlign w:val="center"/>
          </w:tcPr>
          <w:p w14:paraId="044B118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A0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2</w:t>
            </w:r>
          </w:p>
        </w:tc>
        <w:tc>
          <w:tcPr>
            <w:tcW w:w="1657" w:type="dxa"/>
            <w:vAlign w:val="center"/>
          </w:tcPr>
          <w:p w14:paraId="4EEC39F0">
            <w:pPr>
              <w:tabs>
                <w:tab w:val="left" w:pos="615"/>
              </w:tabs>
              <w:autoSpaceDE/>
              <w:autoSpaceDN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数字经济专项</w:t>
            </w:r>
          </w:p>
        </w:tc>
        <w:tc>
          <w:tcPr>
            <w:tcW w:w="5929" w:type="dxa"/>
            <w:vAlign w:val="center"/>
          </w:tcPr>
          <w:p w14:paraId="57779A7B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1.数字技术赋能实体经济模式创新与提质增效研究</w:t>
            </w:r>
          </w:p>
          <w:p w14:paraId="226E48E9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2.数据要素市场化开发、合规流通与产业化应用研究</w:t>
            </w:r>
          </w:p>
          <w:p w14:paraId="7BEFDF85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3.数字文化产业升级与智慧传媒技术创新应用研究</w:t>
            </w:r>
          </w:p>
          <w:p w14:paraId="3C5ED918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4.产教融合视域下复合型数字人才培养体系构建与实践研究</w:t>
            </w:r>
          </w:p>
          <w:p w14:paraId="1DBB373A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5.数字孪生技术赋能行业数字化转型的案例实证与路径研究</w:t>
            </w:r>
          </w:p>
          <w:p w14:paraId="324266D1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6.中小微企业数字化改造瓶颈破解与落地实践路径研究</w:t>
            </w:r>
          </w:p>
          <w:p w14:paraId="386F22FD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7.数字经济新业态新模式的理论建构与实践探索研究</w:t>
            </w:r>
          </w:p>
          <w:p w14:paraId="1A9E0D31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8.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数字经济赋能跨境数字贸易创新发展与竞争力提升研究</w:t>
            </w:r>
          </w:p>
          <w:p w14:paraId="3C6CDD01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9.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数字技术驱动国际贸易合规升级与跨境营商环境优化研究</w:t>
            </w:r>
          </w:p>
          <w:p w14:paraId="37673ECA">
            <w:pPr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10.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数字赋能涉外商务服务升级与跨境语言服务创新实践研究</w:t>
            </w:r>
          </w:p>
        </w:tc>
      </w:tr>
      <w:tr w14:paraId="41BA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475" w:type="dxa"/>
            <w:vAlign w:val="center"/>
          </w:tcPr>
          <w:p w14:paraId="5888EBE6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A0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3</w:t>
            </w:r>
          </w:p>
        </w:tc>
        <w:tc>
          <w:tcPr>
            <w:tcW w:w="1657" w:type="dxa"/>
            <w:vAlign w:val="center"/>
          </w:tcPr>
          <w:p w14:paraId="17CEBD6F">
            <w:pPr>
              <w:tabs>
                <w:tab w:val="left" w:pos="615"/>
              </w:tabs>
              <w:autoSpaceDE/>
              <w:autoSpaceDN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AI+电商专项</w:t>
            </w:r>
          </w:p>
        </w:tc>
        <w:tc>
          <w:tcPr>
            <w:tcW w:w="5929" w:type="dxa"/>
            <w:vAlign w:val="center"/>
          </w:tcPr>
          <w:p w14:paraId="71460DDC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AI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大模型在电商营销、内容生成中的应用研究</w:t>
            </w:r>
          </w:p>
          <w:p w14:paraId="278E9627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2.智能推荐算法在电商场景优化实践</w:t>
            </w:r>
          </w:p>
          <w:p w14:paraId="242318EE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AI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直播、数字人电商应用创新研究</w:t>
            </w:r>
          </w:p>
          <w:p w14:paraId="7180363A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4.跨境AI电商模式创新与风险防控研究</w:t>
            </w:r>
          </w:p>
          <w:p w14:paraId="5EAD521E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5.AI驱动下供应链数字化、智能选品研究</w:t>
            </w:r>
          </w:p>
          <w:p w14:paraId="3A343D43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6.电商AIGC内容合规、版权相关研究</w:t>
            </w:r>
          </w:p>
          <w:p w14:paraId="011F108E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7.乡村振兴背景下AI助农电商创新实践</w:t>
            </w:r>
          </w:p>
          <w:p w14:paraId="1FCAC991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8.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AI赋能数字贸易场景下跨境电商精准营销体系构建研究</w:t>
            </w:r>
          </w:p>
          <w:p w14:paraId="41A37912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9.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智能AI技术赋能跨境商贸多语种服务与涉外沟通创新研究</w:t>
            </w:r>
          </w:p>
          <w:p w14:paraId="37689220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10.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AI大数据驱动中小跨境电商数字化转型升级路径研究</w:t>
            </w:r>
          </w:p>
        </w:tc>
      </w:tr>
      <w:tr w14:paraId="1147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475" w:type="dxa"/>
            <w:vAlign w:val="center"/>
          </w:tcPr>
          <w:p w14:paraId="3140A189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A04</w:t>
            </w:r>
          </w:p>
        </w:tc>
        <w:tc>
          <w:tcPr>
            <w:tcW w:w="1657" w:type="dxa"/>
            <w:vAlign w:val="center"/>
          </w:tcPr>
          <w:p w14:paraId="1781C4C3">
            <w:pPr>
              <w:tabs>
                <w:tab w:val="left" w:pos="615"/>
              </w:tabs>
              <w:autoSpaceDE/>
              <w:autoSpaceDN/>
              <w:spacing w:line="4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AI+传统文化传播专项</w:t>
            </w:r>
          </w:p>
        </w:tc>
        <w:tc>
          <w:tcPr>
            <w:tcW w:w="5929" w:type="dxa"/>
            <w:vAlign w:val="center"/>
          </w:tcPr>
          <w:p w14:paraId="686624F6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1.地域传统文化符号的网络视听场景化传播研究</w:t>
            </w:r>
          </w:p>
          <w:p w14:paraId="31A4CD15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2.中华优秀传统文化网络视听内容多模态叙事研究</w:t>
            </w:r>
          </w:p>
          <w:p w14:paraId="1A5C5EB2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3.新国风网络视听内容的审美建构与价值传播研究</w:t>
            </w:r>
          </w:p>
          <w:p w14:paraId="64A991C0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4.传统文化网络视听内容跨平台传播机制研究</w:t>
            </w:r>
          </w:p>
          <w:p w14:paraId="584970B4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5.微短剧赋能中华优秀传统文化传播创新研究</w:t>
            </w:r>
          </w:p>
          <w:p w14:paraId="14759032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6.网络视听平台传统文化内容用户接受与传播效果研究</w:t>
            </w:r>
          </w:p>
          <w:p w14:paraId="7D2989BB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7.传统文化数字IP网络视听开发与产业转化研究</w:t>
            </w:r>
          </w:p>
          <w:p w14:paraId="3D95B449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8.出海语境下中华优秀传统文化网络视听国际传播研究</w:t>
            </w:r>
          </w:p>
          <w:p w14:paraId="333216FB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9.AIGC驱动非遗技艺视觉化呈现与内容创作研究</w:t>
            </w:r>
          </w:p>
          <w:p w14:paraId="23A87972">
            <w:pPr>
              <w:widowControl/>
              <w:tabs>
                <w:tab w:val="left" w:pos="312"/>
              </w:tabs>
              <w:autoSpaceDE/>
              <w:autoSpaceDN/>
              <w:spacing w:line="420" w:lineRule="exact"/>
              <w:jc w:val="both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/>
              </w:rPr>
              <w:t>10.AIGC赋能红色文化数字场景构建与内容生产研究</w:t>
            </w:r>
          </w:p>
        </w:tc>
      </w:tr>
    </w:tbl>
    <w:p w14:paraId="0B324423">
      <w:pPr>
        <w:spacing w:line="580" w:lineRule="exact"/>
        <w:jc w:val="center"/>
        <w:rPr>
          <w:rFonts w:hint="eastAsia" w:ascii="仿宋" w:hAnsi="仿宋" w:eastAsia="仿宋" w:cs="仿宋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表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/>
        </w:rPr>
        <w:t>1.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2026年“AI+产教融合”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课题选题列表</w:t>
      </w:r>
    </w:p>
    <w:p w14:paraId="226CB0AF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/>
        </w:rPr>
        <w:t>5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课题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审核</w:t>
      </w:r>
    </w:p>
    <w:p w14:paraId="3EC2E55E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（1）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专项课题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评审分为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立项评审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与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评审两个环节。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立项审批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通过后的项目，按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课题进度分批次进行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评审，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结项评审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结果作为是否资助的依据。</w:t>
      </w:r>
    </w:p>
    <w:p w14:paraId="55E61F0A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（2）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立项评审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采用网络审核方式，由各高校、科研单位和行业企业专家匿名完成。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立项评审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时将确定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课题为重点项目或一般项目。</w:t>
      </w:r>
    </w:p>
    <w:p w14:paraId="087B7B5D">
      <w:pPr>
        <w:widowControl/>
        <w:spacing w:line="580" w:lineRule="exact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（3）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专项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bidi="ar"/>
          <w14:textFill>
            <w14:solidFill>
              <w14:schemeClr w14:val="tx1"/>
            </w14:solidFill>
          </w14:textFill>
        </w:rPr>
        <w:t>课题分两批进行结项评审，首批结项评审时间为2027年3月1日至3月5日；第二批结项评审时间为2027年8月1日至8月5日。</w:t>
      </w:r>
    </w:p>
    <w:p w14:paraId="04386359">
      <w:pPr>
        <w:pStyle w:val="3"/>
        <w:spacing w:line="580" w:lineRule="exact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专项课题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技术支持单位是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广州快学科技有限公司、广州口可口可软件科技有限公司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</w:t>
      </w:r>
    </w:p>
    <w:p w14:paraId="02480888">
      <w:pPr>
        <w:spacing w:before="156" w:beforeLines="50" w:line="580" w:lineRule="exact"/>
        <w:ind w:firstLine="640" w:firstLineChars="200"/>
        <w:jc w:val="both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二、申报条件和要求</w:t>
      </w:r>
    </w:p>
    <w:p w14:paraId="207BE98E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1.优先支持团队在选定的项目研究方向上有较好的技术储备，包括与申报项目研究内容相关的研究成果、教材、论文、专利、获奖等。</w:t>
      </w:r>
    </w:p>
    <w:p w14:paraId="54885388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.优先支持已经开设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广电传媒、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人工智能、数字经济、电子商务、网络新媒体等相关专业或者已经成立相关研究中心、产教融合实验室的院校。</w:t>
      </w:r>
    </w:p>
    <w:p w14:paraId="55E4A070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.优先支持研究方向明确，内容有创造性、前瞻性和实用性，具有可转化前景的项目。</w:t>
      </w:r>
    </w:p>
    <w:p w14:paraId="3EEBCA9F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.优先支持有明确研究成果，成果有应用价值，可复制、可推广的项目。</w:t>
      </w:r>
    </w:p>
    <w:p w14:paraId="16FBA010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5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.优先支持院校对所申报项目有资金、政策、人员和场地等条件支持的项目。</w:t>
      </w:r>
    </w:p>
    <w:p w14:paraId="62502BA2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6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.资助项目获得的知识产权由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专项课题发布方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和项目承担单位共同所有。</w:t>
      </w:r>
    </w:p>
    <w:p w14:paraId="38A6D3C6">
      <w:pPr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7.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申请人应客观真实地填写申请书，遵守国家有关知识产权法规。在项目申请书中引用他人研究成果时，必须以脚注或其他方式注明出处。引用目的应是介绍、评论与自己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研究相关的成果或说明与自己的研究相关的技术问题。对于伪造、篡改科学数据，抄袭他人著作、论文或者剽窃他人科研成果等科研不端行为，一经查实，将取消申请资格。</w:t>
      </w:r>
    </w:p>
    <w:p w14:paraId="7317184F">
      <w:pPr>
        <w:spacing w:before="156" w:beforeLines="50" w:line="580" w:lineRule="exact"/>
        <w:ind w:firstLine="640" w:firstLineChars="200"/>
        <w:jc w:val="both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专项课题配套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资源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平台</w:t>
      </w:r>
    </w:p>
    <w:p w14:paraId="580C968B">
      <w:pPr>
        <w:widowControl/>
        <w:spacing w:line="58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A01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、A02、A03方向课题配套资源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bidi="ar"/>
        </w:rPr>
        <w:t>平台含包括amzone、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 w:bidi="ar"/>
        </w:rPr>
        <w:t>TikTok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bidi="ar"/>
        </w:rPr>
        <w:t>、1688等国内外典型直播平台仿真营销实训系统，并搭载图文音视频全类型模型及配套算力，用于支撑课题研究和实践。</w:t>
      </w:r>
    </w:p>
    <w:p w14:paraId="48E4D5AA">
      <w:pPr>
        <w:spacing w:before="156" w:beforeLines="50" w:line="580" w:lineRule="exact"/>
        <w:ind w:firstLine="640" w:firstLineChars="200"/>
        <w:jc w:val="both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四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课题申报说明</w:t>
      </w:r>
    </w:p>
    <w:p w14:paraId="58B547F9">
      <w:pPr>
        <w:widowControl/>
        <w:spacing w:line="240" w:lineRule="auto"/>
        <w:ind w:firstLine="640" w:firstLineChars="200"/>
        <w:jc w:val="left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各个项目申请人须仔细阅读申请指南，按照指南详细填写申请书（手机和邮箱必须填写），加盖公章及签字后扫描上传至：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eastAsia="zh-CN" w:bidi="zh-CN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eastAsia="zh-CN" w:bidi="zh-CN"/>
        </w:rPr>
        <w:instrText xml:space="preserve"> HYPERLINK "https://keti.nrtatalent.cn" \t "_blank" </w:instrTex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eastAsia="zh-CN" w:bidi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highlight w:val="none"/>
        </w:rPr>
        <w:t>https://keti.nrtatalent.cn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zh-CN" w:eastAsia="zh-CN" w:bidi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。项目申请书扫描件按“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学校名称+项目类型（重点/一般）</w:t>
      </w: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/>
        </w:rPr>
        <w:t>+课题方向编号</w:t>
      </w:r>
      <w:r>
        <w:rPr>
          <w:rFonts w:hint="eastAsia" w:ascii="仿宋" w:hAnsi="仿宋" w:eastAsia="仿宋" w:cs="仿宋"/>
          <w:b/>
          <w:sz w:val="32"/>
          <w:szCs w:val="32"/>
          <w:highlight w:val="none"/>
        </w:rPr>
        <w:t>+申请人姓名”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规则命名。</w:t>
      </w:r>
    </w:p>
    <w:p w14:paraId="5BC12D55">
      <w:pPr>
        <w:widowControl/>
        <w:autoSpaceDE/>
        <w:autoSpaceDN/>
        <w:spacing w:line="580" w:lineRule="exact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B5C19"/>
    <w:rsid w:val="12FB5C19"/>
    <w:rsid w:val="70B1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37"/>
      <w:ind w:left="118"/>
      <w:outlineLvl w:val="0"/>
    </w:pPr>
    <w:rPr>
      <w:rFonts w:ascii="仿宋" w:hAnsi="仿宋" w:eastAsia="仿宋" w:cs="仿宋"/>
      <w:b/>
      <w:bCs/>
      <w:sz w:val="30"/>
      <w:szCs w:val="30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2026-09-11T08:16:00Z</dcterms:created>
  <dc:creator>刘宇佳</dc:creator>
  <cp:lastModifiedBy>刘宇佳</cp:lastModifiedBy>
  <dcterms:modified xsi:type="dcterms:W3CDTF">2026-09-11T08:16:38Z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97C0C65F98614B6FB51D0A0CFFE53B41_11</vt:lpwstr>
  </property>
  <property fmtid="{D5CDD505-2E9C-101B-9397-08002B2CF9AE}" pid="4" name="KSOTemplateDocerSaveRecord">
    <vt:lpwstr>eyJoZGlkIjoiN2E0MjU2YjE4NzE4N2E4NGZkZmYxNjdlODRkNWYyOTMiLCJ1c2VySWQiOiIyNTYxMzM0NzYifQ==</vt:lpwstr>
  </property>
</Properties>
</file>